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3E48" w14:textId="29380E17" w:rsidR="00255168" w:rsidRDefault="00255168" w:rsidP="009214FD">
      <w:pPr>
        <w:suppressAutoHyphens/>
        <w:spacing w:before="60" w:after="80" w:line="211" w:lineRule="auto"/>
        <w:jc w:val="right"/>
        <w:rPr>
          <w:rFonts w:ascii="Times New Roman" w:hAnsi="Times New Roman"/>
          <w:b/>
          <w:bCs/>
          <w:iCs/>
          <w:sz w:val="19"/>
          <w:szCs w:val="19"/>
        </w:rPr>
      </w:pPr>
      <w:r>
        <w:rPr>
          <w:rFonts w:ascii="Times New Roman" w:hAnsi="Times New Roman"/>
          <w:b/>
          <w:bCs/>
          <w:iCs/>
          <w:sz w:val="19"/>
          <w:szCs w:val="19"/>
        </w:rPr>
        <w:t>Załącznik do oferty</w:t>
      </w:r>
    </w:p>
    <w:p w14:paraId="414DE2CB" w14:textId="2DE426E0" w:rsidR="00255168" w:rsidRDefault="00255168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</w:p>
    <w:tbl>
      <w:tblPr>
        <w:tblpPr w:leftFromText="141" w:rightFromText="141" w:vertAnchor="page" w:horzAnchor="margin" w:tblpY="254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2"/>
        <w:gridCol w:w="2750"/>
        <w:gridCol w:w="2898"/>
      </w:tblGrid>
      <w:tr w:rsidR="00255168" w:rsidRPr="00847E8E" w14:paraId="60695102" w14:textId="77777777" w:rsidTr="00255168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3966A6E1" w14:textId="77777777" w:rsidR="00255168" w:rsidRPr="00847E8E" w:rsidRDefault="00255168" w:rsidP="002551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>
              <w:rPr>
                <w:rFonts w:ascii="Times New Roman" w:hAnsi="Times New Roman"/>
                <w:sz w:val="20"/>
                <w:szCs w:val="20"/>
              </w:rPr>
              <w:t>OFERENTA</w:t>
            </w:r>
          </w:p>
          <w:p w14:paraId="321CE426" w14:textId="77777777" w:rsidR="00255168" w:rsidRPr="00847E8E" w:rsidRDefault="00255168" w:rsidP="002551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19695A8D" w14:textId="77777777" w:rsidR="00255168" w:rsidRPr="00847E8E" w:rsidRDefault="00255168" w:rsidP="002551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79C39767" w14:textId="77777777" w:rsidR="00255168" w:rsidRPr="00847E8E" w:rsidRDefault="00255168" w:rsidP="002551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9455DC" w14:textId="77777777" w:rsidR="00255168" w:rsidRPr="00847E8E" w:rsidRDefault="00255168" w:rsidP="002551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58AEB41C" w14:textId="77777777" w:rsidR="00255168" w:rsidRPr="00847E8E" w:rsidRDefault="00255168" w:rsidP="00255168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Informacja o sposobie </w:t>
            </w: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dostępności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podczas realizacji zadania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5E909D0A" w14:textId="77777777" w:rsidR="00C63874" w:rsidRDefault="00255168" w:rsidP="00255168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Gmina Miasto Elbląg</w:t>
            </w:r>
          </w:p>
          <w:p w14:paraId="4140722F" w14:textId="18C6E316" w:rsidR="00255168" w:rsidRPr="00847E8E" w:rsidRDefault="00255168" w:rsidP="00CD40E6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CD4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Elbląskie</w:t>
            </w:r>
            <w:r w:rsidR="00CD4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Centrum</w:t>
            </w:r>
            <w:r w:rsidR="00CD4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Usług Społecznych</w:t>
            </w:r>
          </w:p>
        </w:tc>
      </w:tr>
    </w:tbl>
    <w:p w14:paraId="3EB9C8C1" w14:textId="78576B8D" w:rsidR="00255168" w:rsidRDefault="00255168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</w:p>
    <w:p w14:paraId="29D5383F" w14:textId="49FB51CE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 xml:space="preserve">Obowiązek </w:t>
      </w:r>
      <w:r w:rsidR="008D2608">
        <w:rPr>
          <w:rFonts w:ascii="Times New Roman" w:hAnsi="Times New Roman"/>
          <w:b/>
          <w:bCs/>
          <w:iCs/>
          <w:sz w:val="19"/>
          <w:szCs w:val="19"/>
        </w:rPr>
        <w:t xml:space="preserve">określenia zasad dostępności </w:t>
      </w:r>
      <w:r w:rsidRPr="00847E8E">
        <w:rPr>
          <w:rFonts w:ascii="Times New Roman" w:hAnsi="Times New Roman"/>
          <w:b/>
          <w:bCs/>
          <w:iCs/>
          <w:sz w:val="19"/>
          <w:szCs w:val="19"/>
        </w:rPr>
        <w:t>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</w:t>
      </w:r>
      <w:r w:rsidR="00C63874">
        <w:rPr>
          <w:rFonts w:ascii="Times New Roman" w:hAnsi="Times New Roman"/>
          <w:b/>
          <w:bCs/>
          <w:iCs/>
          <w:sz w:val="19"/>
          <w:szCs w:val="19"/>
        </w:rPr>
        <w:t>4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ust. </w:t>
      </w:r>
      <w:r w:rsidR="00C63874">
        <w:rPr>
          <w:rFonts w:ascii="Times New Roman" w:hAnsi="Times New Roman"/>
          <w:b/>
          <w:bCs/>
          <w:iCs/>
          <w:sz w:val="19"/>
          <w:szCs w:val="19"/>
        </w:rPr>
        <w:t>3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(Dz.U. 20</w:t>
      </w:r>
      <w:r w:rsidR="008D2608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poz. 1</w:t>
      </w:r>
      <w:r w:rsidR="008D2608">
        <w:rPr>
          <w:rFonts w:ascii="Times New Roman" w:hAnsi="Times New Roman"/>
          <w:b/>
          <w:bCs/>
          <w:iCs/>
          <w:sz w:val="19"/>
          <w:szCs w:val="19"/>
        </w:rPr>
        <w:t>062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)</w:t>
      </w:r>
      <w:r w:rsidR="009214FD">
        <w:rPr>
          <w:rFonts w:ascii="Times New Roman" w:hAnsi="Times New Roman"/>
          <w:iCs/>
          <w:sz w:val="19"/>
          <w:szCs w:val="19"/>
        </w:rPr>
        <w:t xml:space="preserve">, </w:t>
      </w:r>
      <w:r w:rsidR="009214FD" w:rsidRPr="009214FD">
        <w:rPr>
          <w:rFonts w:ascii="Times New Roman" w:hAnsi="Times New Roman"/>
          <w:b/>
          <w:iCs/>
          <w:sz w:val="19"/>
          <w:szCs w:val="19"/>
        </w:rPr>
        <w:t xml:space="preserve">zwaną </w:t>
      </w:r>
      <w:proofErr w:type="spellStart"/>
      <w:r w:rsidR="009214FD" w:rsidRPr="009214FD">
        <w:rPr>
          <w:rFonts w:ascii="Times New Roman" w:hAnsi="Times New Roman"/>
          <w:b/>
          <w:iCs/>
          <w:sz w:val="19"/>
          <w:szCs w:val="19"/>
        </w:rPr>
        <w:t>UzD</w:t>
      </w:r>
      <w:proofErr w:type="spellEnd"/>
      <w:r w:rsidR="009214FD">
        <w:rPr>
          <w:rFonts w:ascii="Times New Roman" w:hAnsi="Times New Roman"/>
          <w:b/>
          <w:iCs/>
          <w:sz w:val="19"/>
          <w:szCs w:val="19"/>
        </w:rPr>
        <w:t>.</w:t>
      </w:r>
    </w:p>
    <w:p w14:paraId="6C98B421" w14:textId="77777777" w:rsidR="008D2608" w:rsidRPr="009214FD" w:rsidRDefault="008D2608" w:rsidP="0039185F">
      <w:pPr>
        <w:spacing w:before="40" w:after="40" w:line="240" w:lineRule="auto"/>
        <w:jc w:val="both"/>
        <w:rPr>
          <w:rFonts w:ascii="Times New Roman" w:hAnsi="Times New Roman"/>
          <w:b/>
          <w:sz w:val="19"/>
          <w:szCs w:val="19"/>
        </w:rPr>
      </w:pPr>
    </w:p>
    <w:p w14:paraId="4461EA5E" w14:textId="5C478B29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 xml:space="preserve">Lokalizacja siedziby </w:t>
      </w:r>
      <w:r w:rsidR="00255168">
        <w:rPr>
          <w:rFonts w:ascii="Times New Roman" w:hAnsi="Times New Roman"/>
          <w:b/>
        </w:rPr>
        <w:t>oferenta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4"/>
        <w:gridCol w:w="3014"/>
        <w:gridCol w:w="3012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91EB49F" w:rsidR="00B71689" w:rsidRPr="00847E8E" w:rsidRDefault="005E2FF6" w:rsidP="001B63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 ………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B4BB75F" w:rsidR="00B71689" w:rsidRPr="00847E8E" w:rsidRDefault="005E2FF6" w:rsidP="001B63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 …………………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D1B7BB5" w:rsidR="00B71689" w:rsidRPr="00847E8E" w:rsidRDefault="005E2FF6" w:rsidP="001B63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…………………………</w:t>
            </w:r>
          </w:p>
        </w:tc>
      </w:tr>
      <w:tr w:rsidR="00423354" w:rsidRPr="00847E8E" w14:paraId="547DEEEB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9D6F4" w14:textId="524FFF62" w:rsidR="00423354" w:rsidRPr="00847E8E" w:rsidRDefault="00423354" w:rsidP="00CD40E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Nr telefonu …………………………….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1C82988" w14:textId="2877B9D2" w:rsidR="00423354" w:rsidRPr="00847E8E" w:rsidRDefault="00423354" w:rsidP="001B63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Adres e-mail ……………………………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EE068B" w14:textId="2437F541" w:rsidR="00423354" w:rsidRPr="00847E8E" w:rsidRDefault="00423354" w:rsidP="00CD40E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Osoba koordynująca</w:t>
            </w:r>
            <w:r w:rsidR="00CD40E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……………………</w:t>
            </w:r>
            <w:r w:rsidR="001B63C3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AF05A4" w:rsidRPr="00847E8E" w14:paraId="4060DA20" w14:textId="77777777" w:rsidTr="00DE2330"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43E7D" w14:textId="232EF29D" w:rsidR="00423354" w:rsidRDefault="00255168" w:rsidP="001E46C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Oferent składa informację </w:t>
            </w:r>
            <w:r w:rsidR="00EA5D48" w:rsidRPr="00847E8E">
              <w:rPr>
                <w:rFonts w:ascii="Times New Roman" w:hAnsi="Times New Roman"/>
                <w:b/>
              </w:rPr>
              <w:t xml:space="preserve">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</w:t>
            </w:r>
            <w:r w:rsidR="008D2608">
              <w:rPr>
                <w:rFonts w:ascii="Times New Roman" w:hAnsi="Times New Roman"/>
                <w:b/>
              </w:rPr>
              <w:t>e</w:t>
            </w:r>
            <w:r w:rsidR="00EA5D48" w:rsidRPr="00847E8E">
              <w:rPr>
                <w:rFonts w:ascii="Times New Roman" w:hAnsi="Times New Roman"/>
                <w:b/>
              </w:rPr>
              <w:t>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423354">
              <w:rPr>
                <w:rFonts w:ascii="Times New Roman" w:hAnsi="Times New Roman"/>
                <w:b/>
              </w:rPr>
              <w:t xml:space="preserve"> oferty na realizację zadania …</w:t>
            </w:r>
            <w:r w:rsidR="001E46CF">
              <w:rPr>
                <w:rFonts w:ascii="Times New Roman" w:hAnsi="Times New Roman"/>
                <w:b/>
              </w:rPr>
              <w:t>..</w:t>
            </w:r>
            <w:r w:rsidR="00423354">
              <w:rPr>
                <w:rFonts w:ascii="Times New Roman" w:hAnsi="Times New Roman"/>
                <w:b/>
              </w:rPr>
              <w:t>…………………………………………………………………….</w:t>
            </w:r>
          </w:p>
          <w:p w14:paraId="57C4B0CE" w14:textId="6A82FEBB" w:rsidR="009E5BC8" w:rsidRPr="00847E8E" w:rsidRDefault="00423354" w:rsidP="00336FC4">
            <w:pPr>
              <w:spacing w:before="20" w:after="20" w:line="211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0840FE1A" w14:textId="0B229C48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423354">
              <w:rPr>
                <w:rFonts w:ascii="Times New Roman" w:hAnsi="Times New Roman"/>
                <w:i/>
                <w:sz w:val="14"/>
                <w:szCs w:val="14"/>
              </w:rPr>
              <w:t>wpisać nazwę zadania zgodnie z ofertą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39435298" w:rsidR="00EA5D48" w:rsidRPr="00847E8E" w:rsidRDefault="00423354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/>
              </w:rPr>
              <w:t>Ogólny opis sposobów zapewnienia dostępności</w:t>
            </w:r>
            <w:r w:rsidR="008D2608">
              <w:rPr>
                <w:rFonts w:ascii="Times New Roman" w:hAnsi="Times New Roman"/>
                <w:b/>
              </w:rPr>
              <w:t xml:space="preserve"> przy realizacji zadania</w:t>
            </w:r>
          </w:p>
          <w:p w14:paraId="70D739C7" w14:textId="3E73343C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  <w:p w14:paraId="5F315243" w14:textId="64A7B5A4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</w:p>
          <w:p w14:paraId="53AE7F24" w14:textId="10F0383C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</w:t>
            </w:r>
          </w:p>
          <w:p w14:paraId="162ECCD3" w14:textId="6AAA1F99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</w:t>
            </w:r>
          </w:p>
          <w:p w14:paraId="70C1BCE9" w14:textId="1B8B2D91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</w:t>
            </w:r>
          </w:p>
          <w:p w14:paraId="0BD07C30" w14:textId="455FC641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412"/>
        <w:gridCol w:w="1982"/>
        <w:gridCol w:w="855"/>
        <w:gridCol w:w="2246"/>
        <w:gridCol w:w="7"/>
        <w:gridCol w:w="36"/>
        <w:gridCol w:w="24"/>
        <w:gridCol w:w="796"/>
        <w:gridCol w:w="861"/>
      </w:tblGrid>
      <w:tr w:rsidR="00AF05A4" w:rsidRPr="00847E8E" w14:paraId="4E896761" w14:textId="77777777" w:rsidTr="00B85AD8">
        <w:trPr>
          <w:trHeight w:val="397"/>
        </w:trPr>
        <w:tc>
          <w:tcPr>
            <w:tcW w:w="4083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5EB1B415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Liczba budynków, w których </w:t>
            </w:r>
            <w:r w:rsidR="00423354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916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C5F877A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B85AD8">
        <w:tc>
          <w:tcPr>
            <w:tcW w:w="4999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6B0F0F75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</w:t>
            </w:r>
            <w:r w:rsidR="00423354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BA63C0" w:rsidRPr="00847E8E" w14:paraId="77686885" w14:textId="77777777" w:rsidTr="00B85AD8">
        <w:tc>
          <w:tcPr>
            <w:tcW w:w="100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0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7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BA63C0">
            <w:pPr>
              <w:spacing w:before="20" w:after="0" w:line="216" w:lineRule="auto"/>
              <w:ind w:right="-50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B85AD8">
        <w:tc>
          <w:tcPr>
            <w:tcW w:w="4070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654CF2F1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</w:t>
            </w:r>
            <w:r w:rsidR="00D04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w których podmiot zapewnia wolne od barier poziome i pionowe przestrzenie komunikacyjne: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B85AD8">
        <w:tc>
          <w:tcPr>
            <w:tcW w:w="4999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62DDBB9A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423354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BA63C0" w:rsidRPr="00847E8E" w14:paraId="49227A6D" w14:textId="77777777" w:rsidTr="00B85AD8">
        <w:tc>
          <w:tcPr>
            <w:tcW w:w="100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0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7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B85AD8">
        <w:tc>
          <w:tcPr>
            <w:tcW w:w="4050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949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B85AD8">
        <w:tc>
          <w:tcPr>
            <w:tcW w:w="4999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033D1C47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3. Czy </w:t>
            </w:r>
            <w:r w:rsidR="00423354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BA63C0" w:rsidRPr="00847E8E" w14:paraId="73A64583" w14:textId="77777777" w:rsidTr="00B85AD8">
        <w:tc>
          <w:tcPr>
            <w:tcW w:w="100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0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7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B85AD8">
        <w:tc>
          <w:tcPr>
            <w:tcW w:w="4046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B85AD8">
        <w:tc>
          <w:tcPr>
            <w:tcW w:w="4999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007F3DB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</w:t>
            </w:r>
            <w:r w:rsidR="00423354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BA63C0" w:rsidRPr="00847E8E" w14:paraId="3F519B3E" w14:textId="77777777" w:rsidTr="00B85AD8">
        <w:tc>
          <w:tcPr>
            <w:tcW w:w="100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0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7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B85AD8">
        <w:tc>
          <w:tcPr>
            <w:tcW w:w="4046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435A9250" w:rsidR="00425F97" w:rsidRPr="00847E8E" w:rsidRDefault="00425F97" w:rsidP="00425F97">
      <w:pPr>
        <w:spacing w:after="0" w:line="120" w:lineRule="auto"/>
        <w:rPr>
          <w:sz w:val="10"/>
          <w:szCs w:val="1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701"/>
        <w:gridCol w:w="1656"/>
        <w:gridCol w:w="654"/>
        <w:gridCol w:w="2312"/>
        <w:gridCol w:w="909"/>
        <w:gridCol w:w="917"/>
      </w:tblGrid>
      <w:tr w:rsidR="00AF05A4" w:rsidRPr="00847E8E" w14:paraId="2C7F00CE" w14:textId="77777777" w:rsidTr="00C9332A">
        <w:tc>
          <w:tcPr>
            <w:tcW w:w="4997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67BD04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5. Czy </w:t>
            </w:r>
            <w:r w:rsidR="00E534D0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C9332A" w:rsidRPr="00847E8E" w14:paraId="2FBF837C" w14:textId="77777777" w:rsidTr="00C9332A">
        <w:tc>
          <w:tcPr>
            <w:tcW w:w="106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C9332A">
            <w:pPr>
              <w:spacing w:before="20" w:after="0" w:line="216" w:lineRule="auto"/>
              <w:ind w:left="-15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C9332A">
        <w:tc>
          <w:tcPr>
            <w:tcW w:w="4019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C9332A">
        <w:tc>
          <w:tcPr>
            <w:tcW w:w="4997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2591C0E4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>wykraczający poza informacje ujęte powyżej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1CF41212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F11721" w14:textId="16E2FC41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01F10353" w14:textId="5A6608D1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64B472C9" w14:textId="176D1052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6C1DB831" w14:textId="4B3024EA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596874F8" w14:textId="77777777" w:rsidR="009A4B91" w:rsidRPr="009A4B91" w:rsidRDefault="009A4B91" w:rsidP="009A4B91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A4B91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6371C296" w14:textId="77777777" w:rsidR="009A4B91" w:rsidRDefault="009A4B91" w:rsidP="009A4B91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A4B91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229CF0DF" w14:textId="77777777" w:rsidR="009A4B91" w:rsidRPr="009A4B91" w:rsidRDefault="009A4B91" w:rsidP="009A4B91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A4B91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0A24106C" w14:textId="79D15A2C" w:rsidR="009A4B91" w:rsidRPr="00C9332A" w:rsidRDefault="009A4B91" w:rsidP="009A4B91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A4B91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558D66F5" w14:textId="3D345776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AC7">
        <w:rPr>
          <w:rFonts w:ascii="Times New Roman" w:hAnsi="Times New Roman"/>
          <w:b/>
          <w:sz w:val="24"/>
          <w:szCs w:val="24"/>
        </w:rPr>
        <w:t>Dział 2.</w:t>
      </w:r>
      <w:r w:rsidR="008640E3" w:rsidRPr="001E3AC7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1E3AC7">
        <w:rPr>
          <w:rFonts w:ascii="Times New Roman" w:hAnsi="Times New Roman"/>
          <w:b/>
          <w:sz w:val="24"/>
          <w:szCs w:val="24"/>
        </w:rPr>
        <w:t>Dostępność cyfrowa</w:t>
      </w:r>
      <w:r w:rsidR="00E534D0" w:rsidRPr="001E3AC7">
        <w:rPr>
          <w:rFonts w:ascii="Times New Roman" w:hAnsi="Times New Roman"/>
          <w:b/>
          <w:sz w:val="24"/>
          <w:szCs w:val="24"/>
        </w:rPr>
        <w:t xml:space="preserve"> 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122"/>
        <w:gridCol w:w="351"/>
        <w:gridCol w:w="589"/>
        <w:gridCol w:w="1336"/>
        <w:gridCol w:w="154"/>
        <w:gridCol w:w="203"/>
        <w:gridCol w:w="712"/>
        <w:gridCol w:w="739"/>
        <w:gridCol w:w="328"/>
      </w:tblGrid>
      <w:tr w:rsidR="00096325" w:rsidRPr="00847E8E" w14:paraId="00B218F6" w14:textId="77777777" w:rsidTr="00C9332A">
        <w:tc>
          <w:tcPr>
            <w:tcW w:w="3083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E2D9C0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</w:t>
            </w:r>
            <w:r w:rsidR="00E534D0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> posiada deklarację dostępności</w:t>
            </w:r>
          </w:p>
        </w:tc>
        <w:tc>
          <w:tcPr>
            <w:tcW w:w="1328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89BA9C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C9332A">
        <w:tc>
          <w:tcPr>
            <w:tcW w:w="3083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FF10F3B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B3606" w14:textId="77777777" w:rsidR="00C9332A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E534D0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E534D0">
              <w:rPr>
                <w:rFonts w:ascii="Times New Roman" w:hAnsi="Times New Roman"/>
              </w:rPr>
              <w:t xml:space="preserve">, </w:t>
            </w:r>
            <w:r w:rsidRPr="00E534D0">
              <w:rPr>
                <w:rFonts w:ascii="Times New Roman" w:hAnsi="Times New Roman"/>
              </w:rPr>
              <w:t>dla każdej strony</w:t>
            </w:r>
            <w:r w:rsidR="008C597A" w:rsidRPr="00E534D0">
              <w:rPr>
                <w:rFonts w:ascii="Times New Roman" w:hAnsi="Times New Roman"/>
              </w:rPr>
              <w:t xml:space="preserve"> internetowej oraz </w:t>
            </w:r>
            <w:r w:rsidRPr="00E534D0">
              <w:rPr>
                <w:rFonts w:ascii="Times New Roman" w:hAnsi="Times New Roman"/>
              </w:rPr>
              <w:t xml:space="preserve">aplikacji </w:t>
            </w:r>
            <w:r w:rsidR="00A82B8C" w:rsidRPr="00E534D0">
              <w:rPr>
                <w:rFonts w:ascii="Times New Roman" w:hAnsi="Times New Roman"/>
              </w:rPr>
              <w:t xml:space="preserve">mobilnej </w:t>
            </w:r>
            <w:r w:rsidRPr="00E534D0">
              <w:rPr>
                <w:rFonts w:ascii="Times New Roman" w:hAnsi="Times New Roman"/>
              </w:rPr>
              <w:t>oddzielnie</w:t>
            </w:r>
            <w:r w:rsidR="008C597A" w:rsidRPr="00E534D0">
              <w:rPr>
                <w:rFonts w:ascii="Times New Roman" w:hAnsi="Times New Roman"/>
              </w:rPr>
              <w:t>,</w:t>
            </w:r>
            <w:r w:rsidRPr="00E534D0">
              <w:rPr>
                <w:rFonts w:ascii="Times New Roman" w:hAnsi="Times New Roman"/>
              </w:rPr>
              <w:t xml:space="preserve"> zgodnie ze wzorem</w:t>
            </w:r>
            <w:r w:rsidR="00B019F5" w:rsidRPr="00E534D0">
              <w:rPr>
                <w:rFonts w:ascii="Times New Roman" w:hAnsi="Times New Roman"/>
              </w:rPr>
              <w:t>:</w:t>
            </w:r>
            <w:r w:rsidR="00C81E2E" w:rsidRPr="00E534D0">
              <w:rPr>
                <w:rFonts w:ascii="Times New Roman" w:hAnsi="Times New Roman"/>
              </w:rPr>
              <w:t xml:space="preserve"> </w:t>
            </w:r>
          </w:p>
          <w:p w14:paraId="4C49BEFC" w14:textId="6CA2AF47" w:rsidR="00C512F4" w:rsidRPr="00E534D0" w:rsidRDefault="006F67BA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E534D0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E534D0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>ID a11y-url</w:t>
            </w:r>
          </w:p>
        </w:tc>
        <w:tc>
          <w:tcPr>
            <w:tcW w:w="2514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E534D0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E534D0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094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E534D0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534D0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14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E534D0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34D0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Częściowo 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094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77777777" w:rsidR="004B60BD" w:rsidRPr="00E534D0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842600" w:rsidRPr="00847E8E" w14:paraId="3DA5CEA8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14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E534D0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E534D0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Częściowo 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094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E534D0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F05A4" w:rsidRPr="00847E8E" w14:paraId="14371DA9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14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E534D0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E534D0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Częściowo 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094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E534D0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A7B89" w:rsidRPr="00847E8E" w14:paraId="2030643B" w14:textId="77777777" w:rsidTr="00C9332A">
        <w:tc>
          <w:tcPr>
            <w:tcW w:w="1392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14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E534D0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E534D0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Częściowo 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☐    </w:t>
            </w:r>
            <w:r w:rsidR="00E6614C" w:rsidRPr="00E534D0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E534D0">
              <w:rPr>
                <w:rFonts w:ascii="Times New Roman" w:hAnsi="Times New Roman"/>
                <w:sz w:val="18"/>
                <w:szCs w:val="18"/>
              </w:rPr>
              <w:tab/>
            </w:r>
            <w:r w:rsidRPr="00E534D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094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E534D0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096325" w:rsidRPr="00847E8E" w14:paraId="02B2CFE3" w14:textId="77777777" w:rsidTr="00C9332A">
        <w:tc>
          <w:tcPr>
            <w:tcW w:w="3083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773FDB19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 xml:space="preserve">, dla których </w:t>
            </w:r>
            <w:r w:rsidR="00E534D0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nie posiada deklaracji dostępności</w:t>
            </w:r>
          </w:p>
        </w:tc>
        <w:tc>
          <w:tcPr>
            <w:tcW w:w="1328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03335743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C9332A">
        <w:tc>
          <w:tcPr>
            <w:tcW w:w="3083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32BE968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8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C9332A">
        <w:tc>
          <w:tcPr>
            <w:tcW w:w="1392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8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C9332A">
        <w:tc>
          <w:tcPr>
            <w:tcW w:w="1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C9332A">
        <w:tc>
          <w:tcPr>
            <w:tcW w:w="1392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5C78FDF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wykraczający poza informacje ujęte powyżej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3CF6D17B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6B4C725C" w14:textId="1BC44FB4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90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4"/>
        <w:gridCol w:w="324"/>
        <w:gridCol w:w="544"/>
        <w:gridCol w:w="610"/>
        <w:gridCol w:w="708"/>
        <w:gridCol w:w="362"/>
        <w:gridCol w:w="140"/>
        <w:gridCol w:w="238"/>
        <w:gridCol w:w="140"/>
        <w:gridCol w:w="508"/>
        <w:gridCol w:w="1161"/>
        <w:gridCol w:w="211"/>
        <w:gridCol w:w="347"/>
        <w:gridCol w:w="408"/>
        <w:gridCol w:w="388"/>
        <w:gridCol w:w="43"/>
        <w:gridCol w:w="6"/>
        <w:gridCol w:w="665"/>
        <w:gridCol w:w="427"/>
        <w:gridCol w:w="7"/>
        <w:gridCol w:w="14"/>
      </w:tblGrid>
      <w:tr w:rsidR="00DE4A0F" w:rsidRPr="00847E8E" w14:paraId="50684D8B" w14:textId="77777777" w:rsidTr="001310F6">
        <w:trPr>
          <w:cantSplit/>
        </w:trPr>
        <w:tc>
          <w:tcPr>
            <w:tcW w:w="9075" w:type="dxa"/>
            <w:gridSpan w:val="2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FA141F3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</w:t>
            </w:r>
            <w:r w:rsidR="00945596">
              <w:rPr>
                <w:rFonts w:ascii="Times New Roman" w:hAnsi="Times New Roman"/>
                <w:b/>
              </w:rPr>
              <w:t>oferent</w:t>
            </w:r>
            <w:r w:rsidR="00DE4A0F" w:rsidRPr="00847E8E">
              <w:rPr>
                <w:rFonts w:ascii="Times New Roman" w:hAnsi="Times New Roman"/>
                <w:b/>
              </w:rPr>
              <w:t xml:space="preserve">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57CC62F3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14:paraId="3EAE0D63" w14:textId="77777777" w:rsidTr="001310F6">
        <w:trPr>
          <w:cantSplit/>
        </w:trPr>
        <w:tc>
          <w:tcPr>
            <w:tcW w:w="9075" w:type="dxa"/>
            <w:gridSpan w:val="21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F82E51">
        <w:trPr>
          <w:cantSplit/>
        </w:trPr>
        <w:tc>
          <w:tcPr>
            <w:tcW w:w="2696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4D2B4" w14:textId="33BDF9BE" w:rsidR="001B137E" w:rsidRPr="00847E8E" w:rsidRDefault="001B137E" w:rsidP="00D93B60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953" w:type="dxa"/>
            <w:gridSpan w:val="8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F82E51">
        <w:trPr>
          <w:gridAfter w:val="1"/>
          <w:wAfter w:w="14" w:type="dxa"/>
          <w:cantSplit/>
        </w:trPr>
        <w:tc>
          <w:tcPr>
            <w:tcW w:w="6775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7326B" w:rsidRPr="00847E8E" w14:paraId="687340D6" w14:textId="77777777" w:rsidTr="001310F6">
        <w:trPr>
          <w:cantSplit/>
        </w:trPr>
        <w:tc>
          <w:tcPr>
            <w:tcW w:w="9075" w:type="dxa"/>
            <w:gridSpan w:val="21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84ECE" w14:textId="77777777" w:rsidR="00890DA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945596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>, takich jak 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</w:p>
          <w:p w14:paraId="3C2166D8" w14:textId="29C3B234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F82E51">
        <w:trPr>
          <w:cantSplit/>
        </w:trPr>
        <w:tc>
          <w:tcPr>
            <w:tcW w:w="330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5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C6C55F4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3"/>
      <w:tr w:rsidR="00825A0A" w:rsidRPr="00847E8E" w14:paraId="25B57458" w14:textId="77777777" w:rsidTr="00F82E51">
        <w:trPr>
          <w:cantSplit/>
        </w:trPr>
        <w:tc>
          <w:tcPr>
            <w:tcW w:w="7967" w:type="dxa"/>
            <w:gridSpan w:val="17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F82E51">
        <w:trPr>
          <w:cantSplit/>
        </w:trPr>
        <w:tc>
          <w:tcPr>
            <w:tcW w:w="7967" w:type="dxa"/>
            <w:gridSpan w:val="17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10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21979DD4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1310F6">
        <w:trPr>
          <w:cantSplit/>
        </w:trPr>
        <w:tc>
          <w:tcPr>
            <w:tcW w:w="9075" w:type="dxa"/>
            <w:gridSpan w:val="21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1FBCE4EE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</w:t>
            </w:r>
            <w:r w:rsidR="00945596">
              <w:rPr>
                <w:rFonts w:ascii="Times New Roman" w:hAnsi="Times New Roman"/>
                <w:b/>
              </w:rPr>
              <w:t>oferent</w:t>
            </w:r>
            <w:r w:rsidRPr="00847E8E">
              <w:rPr>
                <w:rFonts w:ascii="Times New Roman" w:hAnsi="Times New Roman"/>
                <w:b/>
              </w:rPr>
              <w:t xml:space="preserve">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</w:t>
            </w:r>
            <w:r w:rsidR="00945596">
              <w:rPr>
                <w:rFonts w:ascii="Times New Roman" w:hAnsi="Times New Roman"/>
                <w:b/>
              </w:rPr>
              <w:t>oferenta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1310F6">
        <w:trPr>
          <w:cantSplit/>
        </w:trPr>
        <w:tc>
          <w:tcPr>
            <w:tcW w:w="9075" w:type="dxa"/>
            <w:gridSpan w:val="21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F82E51">
        <w:trPr>
          <w:gridAfter w:val="2"/>
          <w:wAfter w:w="21" w:type="dxa"/>
          <w:cantSplit/>
        </w:trPr>
        <w:tc>
          <w:tcPr>
            <w:tcW w:w="1826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890DAE">
            <w:pPr>
              <w:spacing w:before="20" w:after="20" w:line="211" w:lineRule="auto"/>
              <w:ind w:left="1118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F82E51">
        <w:trPr>
          <w:cantSplit/>
        </w:trPr>
        <w:tc>
          <w:tcPr>
            <w:tcW w:w="7918" w:type="dxa"/>
            <w:gridSpan w:val="1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007E151D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</w:t>
            </w:r>
            <w:r w:rsidR="00890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1310F6">
        <w:trPr>
          <w:cantSplit/>
        </w:trPr>
        <w:tc>
          <w:tcPr>
            <w:tcW w:w="9075" w:type="dxa"/>
            <w:gridSpan w:val="21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F82E51">
        <w:trPr>
          <w:gridAfter w:val="1"/>
          <w:wAfter w:w="14" w:type="dxa"/>
          <w:cantSplit/>
        </w:trPr>
        <w:tc>
          <w:tcPr>
            <w:tcW w:w="1826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F82E51">
            <w:pPr>
              <w:spacing w:before="20" w:after="20" w:line="211" w:lineRule="auto"/>
              <w:ind w:left="9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F82E51">
        <w:trPr>
          <w:cantSplit/>
        </w:trPr>
        <w:tc>
          <w:tcPr>
            <w:tcW w:w="7918" w:type="dxa"/>
            <w:gridSpan w:val="15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1310F6">
        <w:trPr>
          <w:cantSplit/>
        </w:trPr>
        <w:tc>
          <w:tcPr>
            <w:tcW w:w="9075" w:type="dxa"/>
            <w:gridSpan w:val="21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F82E51">
        <w:trPr>
          <w:gridAfter w:val="1"/>
          <w:wAfter w:w="10" w:type="dxa"/>
          <w:cantSplit/>
        </w:trPr>
        <w:tc>
          <w:tcPr>
            <w:tcW w:w="1826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F82E51">
            <w:pPr>
              <w:spacing w:before="20" w:after="20" w:line="211" w:lineRule="auto"/>
              <w:ind w:left="9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F82E51">
        <w:trPr>
          <w:cantSplit/>
        </w:trPr>
        <w:tc>
          <w:tcPr>
            <w:tcW w:w="7918" w:type="dxa"/>
            <w:gridSpan w:val="15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36AC043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907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2428"/>
      </w:tblGrid>
      <w:tr w:rsidR="00A22D67" w:rsidRPr="00847E8E" w14:paraId="667D46EB" w14:textId="77777777" w:rsidTr="00146A29">
        <w:trPr>
          <w:cantSplit/>
        </w:trPr>
        <w:tc>
          <w:tcPr>
            <w:tcW w:w="9072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1C2947AC" w:rsidR="00A22D67" w:rsidRPr="00847E8E" w:rsidRDefault="00A22D67" w:rsidP="00235F55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</w:t>
            </w:r>
            <w:r w:rsidR="00945596">
              <w:rPr>
                <w:rFonts w:ascii="Times New Roman" w:hAnsi="Times New Roman"/>
                <w:b/>
              </w:rPr>
              <w:t xml:space="preserve">oferent będzie </w:t>
            </w:r>
            <w:r w:rsidRPr="00847E8E">
              <w:rPr>
                <w:rFonts w:ascii="Times New Roman" w:hAnsi="Times New Roman"/>
                <w:b/>
              </w:rPr>
              <w:t xml:space="preserve">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146A29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4"/>
      <w:tr w:rsidR="00A70B81" w:rsidRPr="00847E8E" w14:paraId="206793CC" w14:textId="77777777" w:rsidTr="00146A29">
        <w:trPr>
          <w:cantSplit/>
        </w:trPr>
        <w:tc>
          <w:tcPr>
            <w:tcW w:w="9072" w:type="dxa"/>
            <w:gridSpan w:val="4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6285D57F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945596">
              <w:rPr>
                <w:rFonts w:ascii="Times New Roman" w:hAnsi="Times New Roman"/>
                <w:b/>
              </w:rPr>
              <w:t>oferent będzie</w:t>
            </w:r>
            <w:r w:rsidR="00FB7626" w:rsidRPr="00847E8E">
              <w:rPr>
                <w:rFonts w:ascii="Times New Roman" w:hAnsi="Times New Roman"/>
                <w:b/>
              </w:rPr>
              <w:t xml:space="preserve">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146A29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510F064F" w14:textId="77777777" w:rsidTr="00146A29">
        <w:trPr>
          <w:cantSplit/>
        </w:trPr>
        <w:tc>
          <w:tcPr>
            <w:tcW w:w="9072" w:type="dxa"/>
            <w:gridSpan w:val="4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76AF5BE3" w:rsidR="007661D4" w:rsidRPr="00847E8E" w:rsidRDefault="007661D4" w:rsidP="00235F55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9214FD">
              <w:rPr>
                <w:rFonts w:ascii="Times New Roman" w:hAnsi="Times New Roman"/>
                <w:b/>
              </w:rPr>
              <w:lastRenderedPageBreak/>
              <w:t xml:space="preserve">3. Czy </w:t>
            </w:r>
            <w:r w:rsidR="00945596" w:rsidRPr="009214FD">
              <w:rPr>
                <w:rFonts w:ascii="Times New Roman" w:hAnsi="Times New Roman"/>
                <w:b/>
              </w:rPr>
              <w:t xml:space="preserve">oferent będzie </w:t>
            </w:r>
            <w:r w:rsidRPr="009214FD">
              <w:rPr>
                <w:rFonts w:ascii="Times New Roman" w:hAnsi="Times New Roman"/>
                <w:b/>
              </w:rPr>
              <w:t>zapewnia</w:t>
            </w:r>
            <w:r w:rsidR="0023504A" w:rsidRPr="009214FD">
              <w:rPr>
                <w:rFonts w:ascii="Times New Roman" w:hAnsi="Times New Roman"/>
                <w:b/>
              </w:rPr>
              <w:t>ł dostęp alternatywny w postaci</w:t>
            </w:r>
            <w:r w:rsidRPr="009214FD">
              <w:rPr>
                <w:rFonts w:ascii="Times New Roman" w:hAnsi="Times New Roman"/>
                <w:b/>
              </w:rPr>
              <w:t xml:space="preserve"> zmian </w:t>
            </w:r>
            <w:r w:rsidR="002E3324" w:rsidRPr="009214FD">
              <w:rPr>
                <w:rFonts w:ascii="Times New Roman" w:hAnsi="Times New Roman"/>
                <w:b/>
              </w:rPr>
              <w:t xml:space="preserve">w </w:t>
            </w:r>
            <w:r w:rsidRPr="009214FD">
              <w:rPr>
                <w:rFonts w:ascii="Times New Roman" w:hAnsi="Times New Roman"/>
                <w:b/>
              </w:rPr>
              <w:t xml:space="preserve">organizacji </w:t>
            </w:r>
            <w:r w:rsidR="002E3324" w:rsidRPr="009214FD">
              <w:rPr>
                <w:rFonts w:ascii="Times New Roman" w:hAnsi="Times New Roman"/>
                <w:b/>
              </w:rPr>
              <w:t xml:space="preserve">funkcjonowania </w:t>
            </w:r>
            <w:r w:rsidR="00945596" w:rsidRPr="009214FD">
              <w:rPr>
                <w:rFonts w:ascii="Times New Roman" w:hAnsi="Times New Roman"/>
                <w:b/>
              </w:rPr>
              <w:t>oferenta</w:t>
            </w:r>
            <w:r w:rsidRPr="009214FD">
              <w:rPr>
                <w:rFonts w:ascii="Times New Roman" w:hAnsi="Times New Roman"/>
                <w:b/>
              </w:rPr>
              <w:t>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146A29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47E8E" w:rsidRPr="00847E8E" w14:paraId="6C7516DD" w14:textId="77777777" w:rsidTr="00146A29">
        <w:trPr>
          <w:cantSplit/>
        </w:trPr>
        <w:tc>
          <w:tcPr>
            <w:tcW w:w="9072" w:type="dxa"/>
            <w:gridSpan w:val="4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0AE1769A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</w:t>
            </w:r>
            <w:r w:rsidR="00945596">
              <w:rPr>
                <w:rFonts w:ascii="Times New Roman" w:hAnsi="Times New Roman"/>
                <w:b/>
              </w:rPr>
              <w:t xml:space="preserve">oferent będzie </w:t>
            </w:r>
            <w:r w:rsidRPr="00847E8E">
              <w:rPr>
                <w:rFonts w:ascii="Times New Roman" w:hAnsi="Times New Roman"/>
                <w:b/>
              </w:rPr>
              <w:t xml:space="preserve">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146A29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04AC97A0" w14:textId="77777777" w:rsidTr="00146A29">
        <w:trPr>
          <w:cantSplit/>
          <w:trHeight w:val="227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2EB28F3C" w14:textId="77777777" w:rsidTr="00146A29">
        <w:trPr>
          <w:cantSplit/>
        </w:trPr>
        <w:tc>
          <w:tcPr>
            <w:tcW w:w="907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09825C84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Na czym </w:t>
            </w:r>
            <w:r w:rsidR="009214FD">
              <w:rPr>
                <w:rFonts w:ascii="Times New Roman" w:hAnsi="Times New Roman"/>
                <w:sz w:val="21"/>
                <w:szCs w:val="21"/>
              </w:rPr>
              <w:t xml:space="preserve">będzie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5002E981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EB7F0D" w14:textId="1AC4CE29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0E68394D" w14:textId="0B25BBA3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71719D75" w14:textId="419C0D4B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2"/>
        <w:gridCol w:w="257"/>
        <w:gridCol w:w="257"/>
        <w:gridCol w:w="257"/>
        <w:gridCol w:w="257"/>
        <w:gridCol w:w="257"/>
        <w:gridCol w:w="257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49"/>
        <w:gridCol w:w="249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D3ACAE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3879E7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4D645A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3B8B4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65A5085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1CFED95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0DA633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51D1902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8554E5F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BAC865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4AAFD7F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ECB999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3D05FB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BF4E73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D570CD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9532B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9C71B0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6659EA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3838FA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92BF67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2989"/>
        <w:gridCol w:w="3044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03FB9">
          <w:headerReference w:type="default" r:id="rId13"/>
          <w:footerReference w:type="default" r:id="rId14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362E92B7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5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5"/>
      <w:r w:rsidR="008D2608">
        <w:rPr>
          <w:rFonts w:ascii="Times New Roman" w:hAnsi="Times New Roman"/>
          <w:sz w:val="18"/>
        </w:rPr>
        <w:t xml:space="preserve">.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6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6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64460E4C" w14:textId="77777777" w:rsidR="008D2608" w:rsidRDefault="001B474A" w:rsidP="008D2608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D2608">
        <w:rPr>
          <w:rFonts w:ascii="Times New Roman" w:hAnsi="Times New Roman"/>
          <w:sz w:val="18"/>
        </w:rPr>
        <w:t>inn</w:t>
      </w:r>
      <w:r w:rsidR="00EB2B08" w:rsidRPr="008D2608">
        <w:rPr>
          <w:rFonts w:ascii="Times New Roman" w:hAnsi="Times New Roman"/>
          <w:sz w:val="18"/>
        </w:rPr>
        <w:t xml:space="preserve">y – </w:t>
      </w:r>
      <w:r w:rsidR="00A31D46" w:rsidRPr="008D2608">
        <w:rPr>
          <w:rFonts w:ascii="Times New Roman" w:hAnsi="Times New Roman"/>
          <w:sz w:val="18"/>
        </w:rPr>
        <w:t>np. przez</w:t>
      </w:r>
      <w:r w:rsidRPr="008D2608">
        <w:rPr>
          <w:rFonts w:ascii="Times New Roman" w:hAnsi="Times New Roman"/>
          <w:sz w:val="18"/>
        </w:rPr>
        <w:t xml:space="preserve"> </w:t>
      </w:r>
      <w:proofErr w:type="spellStart"/>
      <w:r w:rsidRPr="008D2608">
        <w:rPr>
          <w:rFonts w:ascii="Times New Roman" w:hAnsi="Times New Roman"/>
          <w:sz w:val="18"/>
        </w:rPr>
        <w:t>infokiosk</w:t>
      </w:r>
      <w:proofErr w:type="spellEnd"/>
      <w:r w:rsidRPr="008D2608">
        <w:rPr>
          <w:rFonts w:ascii="Times New Roman" w:hAnsi="Times New Roman"/>
          <w:sz w:val="18"/>
        </w:rPr>
        <w:t xml:space="preserve"> lub </w:t>
      </w:r>
      <w:proofErr w:type="spellStart"/>
      <w:r w:rsidRPr="008D2608">
        <w:rPr>
          <w:rFonts w:ascii="Times New Roman" w:hAnsi="Times New Roman"/>
          <w:sz w:val="18"/>
        </w:rPr>
        <w:t>infomat</w:t>
      </w:r>
      <w:proofErr w:type="spellEnd"/>
      <w:r w:rsidRPr="008D2608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E9F691A" w:rsidR="00EB27D6" w:rsidRPr="008D2608" w:rsidRDefault="00EB27D6" w:rsidP="008D260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D2608">
        <w:rPr>
          <w:rFonts w:ascii="Times New Roman" w:hAnsi="Times New Roman"/>
          <w:b/>
          <w:sz w:val="18"/>
        </w:rPr>
        <w:t>Pyt. 5</w:t>
      </w:r>
      <w:r w:rsidR="008D7011" w:rsidRPr="008D2608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lastRenderedPageBreak/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0E2C4C66" w14:textId="77777777" w:rsidR="00242056" w:rsidRDefault="00242056" w:rsidP="00242056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5E1E2AC3" w14:textId="5BF9833B" w:rsidR="003E009C" w:rsidRPr="00847E8E" w:rsidRDefault="003E009C" w:rsidP="00242056">
      <w:pPr>
        <w:spacing w:after="0" w:line="240" w:lineRule="auto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153E1716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="00235F55">
        <w:rPr>
          <w:rFonts w:ascii="Times New Roman" w:hAnsi="Times New Roman"/>
          <w:bCs/>
          <w:sz w:val="18"/>
        </w:rPr>
        <w:t>oferent</w:t>
      </w:r>
      <w:r w:rsidRPr="00847E8E">
        <w:rPr>
          <w:rFonts w:ascii="Times New Roman" w:hAnsi="Times New Roman"/>
          <w:bCs/>
          <w:sz w:val="18"/>
        </w:rPr>
        <w:t xml:space="preserve">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>podkreślić, iż dostęp alternatywny powinien być stosowany 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6573A273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235F55">
        <w:rPr>
          <w:rFonts w:ascii="Times New Roman" w:hAnsi="Times New Roman"/>
          <w:bCs/>
          <w:sz w:val="18"/>
        </w:rPr>
        <w:t>oferenta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53B92DDC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 xml:space="preserve">, gdy </w:t>
      </w:r>
      <w:r w:rsidR="00235F55">
        <w:rPr>
          <w:rFonts w:ascii="Times New Roman" w:hAnsi="Times New Roman"/>
          <w:bCs/>
          <w:sz w:val="18"/>
        </w:rPr>
        <w:t>oferent</w:t>
      </w:r>
      <w:r w:rsidR="00DE0C67" w:rsidRPr="00847E8E">
        <w:rPr>
          <w:rFonts w:ascii="Times New Roman" w:hAnsi="Times New Roman"/>
          <w:bCs/>
          <w:sz w:val="18"/>
        </w:rPr>
        <w:t xml:space="preserve">, zamiast zapewnić osobie z ograniczeniami możliwość osobistego załatwienia sprawy w </w:t>
      </w:r>
      <w:r w:rsidR="00DE0C67" w:rsidRPr="00847E8E">
        <w:rPr>
          <w:rFonts w:ascii="Times New Roman" w:hAnsi="Times New Roman"/>
          <w:bCs/>
          <w:sz w:val="18"/>
        </w:rPr>
        <w:lastRenderedPageBreak/>
        <w:t>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0112B646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</w:t>
      </w:r>
      <w:r w:rsidR="00235F55">
        <w:rPr>
          <w:rFonts w:ascii="Times New Roman" w:hAnsi="Times New Roman"/>
          <w:bCs/>
          <w:sz w:val="18"/>
        </w:rPr>
        <w:t>oferenta</w:t>
      </w:r>
      <w:r w:rsidR="009F0CE8" w:rsidRPr="00847E8E">
        <w:rPr>
          <w:rFonts w:ascii="Times New Roman" w:hAnsi="Times New Roman"/>
          <w:bCs/>
          <w:sz w:val="18"/>
        </w:rPr>
        <w:t xml:space="preserve">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 xml:space="preserve">inwalidzkim) – </w:t>
      </w:r>
      <w:r w:rsidR="00235F55">
        <w:rPr>
          <w:rFonts w:ascii="Times New Roman" w:hAnsi="Times New Roman"/>
          <w:bCs/>
          <w:sz w:val="18"/>
        </w:rPr>
        <w:t>oferent</w:t>
      </w:r>
      <w:r w:rsidR="00F95D21" w:rsidRPr="00847E8E">
        <w:rPr>
          <w:rFonts w:ascii="Times New Roman" w:hAnsi="Times New Roman"/>
          <w:bCs/>
          <w:sz w:val="18"/>
        </w:rPr>
        <w:t xml:space="preserve">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2585F"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10E7" w14:textId="77777777" w:rsidR="00EE3B91" w:rsidRDefault="00EE3B91" w:rsidP="005840AE">
      <w:pPr>
        <w:spacing w:after="0" w:line="240" w:lineRule="auto"/>
      </w:pPr>
      <w:r>
        <w:separator/>
      </w:r>
    </w:p>
  </w:endnote>
  <w:endnote w:type="continuationSeparator" w:id="0">
    <w:p w14:paraId="08886FFC" w14:textId="77777777" w:rsidR="00EE3B91" w:rsidRDefault="00EE3B91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0F30" w14:textId="77777777" w:rsidR="003F7695" w:rsidRPr="003F7695" w:rsidRDefault="003F7695" w:rsidP="003F7695">
    <w:pPr>
      <w:pStyle w:val="Stopka"/>
      <w:jc w:val="center"/>
      <w:rPr>
        <w:rFonts w:ascii="Arial" w:hAnsi="Arial" w:cs="Arial"/>
        <w:sz w:val="16"/>
        <w:szCs w:val="16"/>
      </w:rPr>
    </w:pPr>
  </w:p>
  <w:p w14:paraId="3E0B6CE5" w14:textId="77777777" w:rsidR="003F7695" w:rsidRPr="003F7695" w:rsidRDefault="003F7695" w:rsidP="003F7695">
    <w:pPr>
      <w:pStyle w:val="Stopka"/>
      <w:jc w:val="center"/>
      <w:rPr>
        <w:rFonts w:ascii="Arial" w:hAnsi="Arial" w:cs="Arial"/>
        <w:sz w:val="16"/>
        <w:szCs w:val="16"/>
      </w:rPr>
    </w:pPr>
    <w:r w:rsidRPr="003F7695">
      <w:rPr>
        <w:rFonts w:ascii="Arial" w:hAnsi="Arial" w:cs="Arial"/>
        <w:sz w:val="16"/>
        <w:szCs w:val="16"/>
      </w:rPr>
      <w:t>„Elbląskie Centrum Usług Społecznych”</w:t>
    </w:r>
  </w:p>
  <w:p w14:paraId="575D7078" w14:textId="77777777" w:rsidR="003F7695" w:rsidRPr="003F7695" w:rsidRDefault="003F7695" w:rsidP="003F7695">
    <w:pPr>
      <w:pStyle w:val="Stopka"/>
      <w:jc w:val="center"/>
      <w:rPr>
        <w:rFonts w:ascii="Arial" w:hAnsi="Arial" w:cs="Arial"/>
        <w:sz w:val="16"/>
        <w:szCs w:val="16"/>
      </w:rPr>
    </w:pPr>
    <w:r w:rsidRPr="003F7695">
      <w:rPr>
        <w:rFonts w:ascii="Arial" w:hAnsi="Arial" w:cs="Arial"/>
        <w:sz w:val="16"/>
        <w:szCs w:val="16"/>
      </w:rPr>
      <w:t>Projekt współfinansowany ze środków Unii Europejskiej w ramach Europejskiego Funduszu Społecznego</w:t>
    </w:r>
  </w:p>
  <w:p w14:paraId="36B09F49" w14:textId="77777777" w:rsidR="003F7695" w:rsidRPr="003F7695" w:rsidRDefault="003F7695" w:rsidP="003F7695">
    <w:pPr>
      <w:pStyle w:val="Stopka"/>
      <w:jc w:val="center"/>
      <w:rPr>
        <w:rFonts w:ascii="Arial" w:hAnsi="Arial" w:cs="Arial"/>
        <w:sz w:val="16"/>
        <w:szCs w:val="16"/>
      </w:rPr>
    </w:pPr>
    <w:r w:rsidRPr="003F7695">
      <w:rPr>
        <w:rFonts w:ascii="Arial" w:hAnsi="Arial" w:cs="Arial"/>
        <w:sz w:val="16"/>
        <w:szCs w:val="16"/>
      </w:rPr>
      <w:t>Program Operacyjny Wiedza Edukacja Rozwój 2014-2020</w:t>
    </w:r>
  </w:p>
  <w:p w14:paraId="30DB7861" w14:textId="77777777" w:rsidR="003F7695" w:rsidRPr="003F7695" w:rsidRDefault="003F7695" w:rsidP="003F7695">
    <w:pPr>
      <w:pStyle w:val="Stopka"/>
      <w:jc w:val="center"/>
      <w:rPr>
        <w:rFonts w:ascii="Arial" w:hAnsi="Arial" w:cs="Arial"/>
        <w:sz w:val="16"/>
        <w:szCs w:val="16"/>
      </w:rPr>
    </w:pPr>
    <w:r w:rsidRPr="003F7695">
      <w:rPr>
        <w:rFonts w:ascii="Arial" w:hAnsi="Arial" w:cs="Arial"/>
        <w:sz w:val="16"/>
        <w:szCs w:val="16"/>
      </w:rPr>
      <w:t>Oś Priorytetowa II – Efektywne polityki publiczne na rynku pracy, gospodarki i edukacji</w:t>
    </w:r>
  </w:p>
  <w:p w14:paraId="01068181" w14:textId="6EA5F84D" w:rsidR="003F7695" w:rsidRPr="003F7695" w:rsidRDefault="003F7695" w:rsidP="003F7695">
    <w:pPr>
      <w:pStyle w:val="Stopka"/>
      <w:jc w:val="center"/>
      <w:rPr>
        <w:rFonts w:ascii="Arial" w:hAnsi="Arial" w:cs="Arial"/>
        <w:sz w:val="16"/>
        <w:szCs w:val="16"/>
      </w:rPr>
    </w:pPr>
    <w:r w:rsidRPr="003F7695">
      <w:rPr>
        <w:rFonts w:ascii="Arial" w:hAnsi="Arial" w:cs="Arial"/>
        <w:sz w:val="16"/>
        <w:szCs w:val="16"/>
      </w:rPr>
      <w:t>Działanie 2.8 Rozwój usług społecznych świadczonych w środowisku lokalnym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419F" w14:textId="77777777" w:rsidR="00EE3B91" w:rsidRDefault="00EE3B91" w:rsidP="005840AE">
      <w:pPr>
        <w:spacing w:after="0" w:line="240" w:lineRule="auto"/>
      </w:pPr>
      <w:r>
        <w:separator/>
      </w:r>
    </w:p>
  </w:footnote>
  <w:footnote w:type="continuationSeparator" w:id="0">
    <w:p w14:paraId="7FA7BD44" w14:textId="77777777" w:rsidR="00EE3B91" w:rsidRDefault="00EE3B91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F49" w14:textId="3F674BB9" w:rsidR="006A1837" w:rsidRPr="0042585F" w:rsidRDefault="0042585F" w:rsidP="0042585F">
    <w:pPr>
      <w:pStyle w:val="Nagwek"/>
      <w:jc w:val="center"/>
    </w:pPr>
    <w:r>
      <w:rPr>
        <w:noProof/>
      </w:rPr>
      <w:drawing>
        <wp:inline distT="0" distB="0" distL="0" distR="0" wp14:anchorId="524E9755" wp14:editId="7BC7E9F5">
          <wp:extent cx="5753100" cy="73660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762747">
    <w:abstractNumId w:val="0"/>
  </w:num>
  <w:num w:numId="2" w16cid:durableId="384917687">
    <w:abstractNumId w:val="11"/>
  </w:num>
  <w:num w:numId="3" w16cid:durableId="855315900">
    <w:abstractNumId w:val="1"/>
  </w:num>
  <w:num w:numId="4" w16cid:durableId="1920823764">
    <w:abstractNumId w:val="6"/>
  </w:num>
  <w:num w:numId="5" w16cid:durableId="1397900133">
    <w:abstractNumId w:val="3"/>
  </w:num>
  <w:num w:numId="6" w16cid:durableId="2087874059">
    <w:abstractNumId w:val="10"/>
  </w:num>
  <w:num w:numId="7" w16cid:durableId="758794003">
    <w:abstractNumId w:val="7"/>
  </w:num>
  <w:num w:numId="8" w16cid:durableId="1229074856">
    <w:abstractNumId w:val="12"/>
  </w:num>
  <w:num w:numId="9" w16cid:durableId="618610344">
    <w:abstractNumId w:val="2"/>
  </w:num>
  <w:num w:numId="10" w16cid:durableId="642739911">
    <w:abstractNumId w:val="13"/>
  </w:num>
  <w:num w:numId="11" w16cid:durableId="2055883617">
    <w:abstractNumId w:val="4"/>
  </w:num>
  <w:num w:numId="12" w16cid:durableId="112948270">
    <w:abstractNumId w:val="8"/>
  </w:num>
  <w:num w:numId="13" w16cid:durableId="572397392">
    <w:abstractNumId w:val="14"/>
  </w:num>
  <w:num w:numId="14" w16cid:durableId="171265267">
    <w:abstractNumId w:val="5"/>
  </w:num>
  <w:num w:numId="15" w16cid:durableId="707343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C7E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10F6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6A29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3C3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3AC7"/>
    <w:rsid w:val="001E410E"/>
    <w:rsid w:val="001E46CF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5F55"/>
    <w:rsid w:val="00237B19"/>
    <w:rsid w:val="00240588"/>
    <w:rsid w:val="00242056"/>
    <w:rsid w:val="0024702D"/>
    <w:rsid w:val="002470EE"/>
    <w:rsid w:val="002478A7"/>
    <w:rsid w:val="00252794"/>
    <w:rsid w:val="00253122"/>
    <w:rsid w:val="00255168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3F7695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354"/>
    <w:rsid w:val="00423643"/>
    <w:rsid w:val="004241AF"/>
    <w:rsid w:val="00424364"/>
    <w:rsid w:val="0042585F"/>
    <w:rsid w:val="00425D50"/>
    <w:rsid w:val="00425F97"/>
    <w:rsid w:val="0042642E"/>
    <w:rsid w:val="00431B29"/>
    <w:rsid w:val="00431F8F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68DE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0DAE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2608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14FD"/>
    <w:rsid w:val="0092458A"/>
    <w:rsid w:val="00926426"/>
    <w:rsid w:val="00940C80"/>
    <w:rsid w:val="009419BB"/>
    <w:rsid w:val="00941EB2"/>
    <w:rsid w:val="00943B8F"/>
    <w:rsid w:val="00945596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4B91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3FB9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85AD8"/>
    <w:rsid w:val="00B908C3"/>
    <w:rsid w:val="00B971CD"/>
    <w:rsid w:val="00BA0EC4"/>
    <w:rsid w:val="00BA1DAC"/>
    <w:rsid w:val="00BA2F88"/>
    <w:rsid w:val="00BA303C"/>
    <w:rsid w:val="00BA63C0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3874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32A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40E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4F3F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93B60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34D0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0781"/>
    <w:rsid w:val="00EE1D46"/>
    <w:rsid w:val="00EE2A9F"/>
    <w:rsid w:val="00EE3B91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2E51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8104AE4E-EDFF-4E45-925A-059BBBC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9F932-06DC-4538-BACD-4AAFF5E09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3126</Words>
  <Characters>18761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am</cp:lastModifiedBy>
  <cp:revision>11</cp:revision>
  <cp:lastPrinted>2018-01-10T11:08:00Z</cp:lastPrinted>
  <dcterms:created xsi:type="dcterms:W3CDTF">2022-05-09T06:13:00Z</dcterms:created>
  <dcterms:modified xsi:type="dcterms:W3CDTF">2022-05-09T06:39:00Z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